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581" w:rsidRDefault="009D650C" w:rsidP="00310581">
      <w:pPr>
        <w:pStyle w:val="CourseModuleHeader"/>
        <w:tabs>
          <w:tab w:val="left" w:pos="8460"/>
        </w:tabs>
      </w:pPr>
      <w:r>
        <w:t>Assignment 0</w:t>
      </w:r>
      <w:r w:rsidR="005777E4">
        <w:t>8</w:t>
      </w:r>
    </w:p>
    <w:p w:rsidR="00310581" w:rsidRDefault="00814D97" w:rsidP="00310581">
      <w:pPr>
        <w:pStyle w:val="SmallCourseTitle"/>
        <w:tabs>
          <w:tab w:val="left" w:pos="8460"/>
        </w:tabs>
        <w:spacing w:before="120"/>
        <w:rPr>
          <w:sz w:val="28"/>
          <w:szCs w:val="28"/>
        </w:rPr>
      </w:pPr>
      <w:r>
        <w:rPr>
          <w:sz w:val="28"/>
          <w:szCs w:val="28"/>
        </w:rPr>
        <w:t>MA240 College Algebra</w:t>
      </w:r>
    </w:p>
    <w:p w:rsidR="00C137AD" w:rsidRPr="003741D5" w:rsidRDefault="003741D5" w:rsidP="00C137AD">
      <w:pPr>
        <w:rPr>
          <w:rStyle w:val="Strong"/>
          <w:b w:val="0"/>
        </w:rPr>
      </w:pPr>
      <w:r w:rsidRPr="003741D5">
        <w:rPr>
          <w:rStyle w:val="Strong"/>
        </w:rPr>
        <w:t xml:space="preserve">Directions: </w:t>
      </w:r>
      <w:r w:rsidRPr="003741D5">
        <w:rPr>
          <w:rStyle w:val="Strong"/>
          <w:b w:val="0"/>
        </w:rPr>
        <w:t xml:space="preserve">Be sure to save an electronic copy of your answer before submitting it to Ashworth College for grading. Unless otherwise stated, answer in complete sentences, and be sure to use correct English, spelling and grammar. Sources must be cited in APA format. Your response should be </w:t>
      </w:r>
      <w:r w:rsidR="001E7AA5">
        <w:rPr>
          <w:rStyle w:val="Strong"/>
          <w:b w:val="0"/>
        </w:rPr>
        <w:t>four</w:t>
      </w:r>
      <w:r w:rsidRPr="003741D5">
        <w:rPr>
          <w:rStyle w:val="Strong"/>
          <w:b w:val="0"/>
        </w:rPr>
        <w:t xml:space="preserve"> (</w:t>
      </w:r>
      <w:r w:rsidR="001E7AA5">
        <w:rPr>
          <w:rStyle w:val="Strong"/>
          <w:b w:val="0"/>
        </w:rPr>
        <w:t>4</w:t>
      </w:r>
      <w:r w:rsidRPr="003741D5">
        <w:rPr>
          <w:rStyle w:val="Strong"/>
          <w:b w:val="0"/>
        </w:rPr>
        <w:t>) double-spaced page</w:t>
      </w:r>
      <w:r w:rsidR="001E7AA5">
        <w:rPr>
          <w:rStyle w:val="Strong"/>
          <w:b w:val="0"/>
        </w:rPr>
        <w:t>s</w:t>
      </w:r>
      <w:r w:rsidRPr="003741D5">
        <w:rPr>
          <w:rStyle w:val="Strong"/>
          <w:b w:val="0"/>
        </w:rPr>
        <w:t>; refer to the "Assignment Format" page located on the Course Home page for specific format requirements.</w:t>
      </w:r>
    </w:p>
    <w:p w:rsidR="003741D5" w:rsidRDefault="003741D5" w:rsidP="00C137AD"/>
    <w:p w:rsidR="00814D97" w:rsidRDefault="00814D97" w:rsidP="00814D97"/>
    <w:p w:rsidR="007412B4" w:rsidRDefault="007412B4" w:rsidP="007412B4">
      <w:pPr>
        <w:numPr>
          <w:ilvl w:val="0"/>
          <w:numId w:val="18"/>
        </w:numPr>
      </w:pPr>
      <w:r>
        <w:t>Use the numbers shown in the bar graph below to find the total cost of tuition and fees at public colleges for a four year period from the school year ending in 2007 through the school year ending in 2010.</w:t>
      </w:r>
    </w:p>
    <w:p w:rsidR="007412B4" w:rsidRDefault="007412B4" w:rsidP="00001526">
      <w:pPr>
        <w:ind w:left="360"/>
      </w:pPr>
    </w:p>
    <w:p w:rsidR="007412B4" w:rsidRDefault="00147CC1" w:rsidP="007412B4">
      <w:pPr>
        <w:ind w:left="720"/>
      </w:pPr>
      <w:r>
        <w:rPr>
          <w:noProof/>
        </w:rPr>
        <w:drawing>
          <wp:inline distT="0" distB="0" distL="0" distR="0">
            <wp:extent cx="5162550" cy="3381375"/>
            <wp:effectExtent l="0" t="0" r="0" b="0"/>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0" w:name="_GoBack"/>
      <w:bookmarkEnd w:id="0"/>
    </w:p>
    <w:p w:rsidR="00701768" w:rsidRDefault="00701768" w:rsidP="007412B4">
      <w:pPr>
        <w:numPr>
          <w:ilvl w:val="0"/>
          <w:numId w:val="18"/>
        </w:numPr>
      </w:pPr>
      <w:r>
        <w:t xml:space="preserve">The model </w:t>
      </w:r>
      <w:r w:rsidRPr="00701768">
        <w:rPr>
          <w:i/>
        </w:rPr>
        <w:t>a</w:t>
      </w:r>
      <w:r w:rsidRPr="00701768">
        <w:rPr>
          <w:i/>
          <w:vertAlign w:val="subscript"/>
        </w:rPr>
        <w:t>n</w:t>
      </w:r>
      <w:r>
        <w:t xml:space="preserve"> </w:t>
      </w:r>
      <w:r w:rsidR="007412B4">
        <w:t>= 395</w:t>
      </w:r>
      <w:r w:rsidR="007412B4" w:rsidRPr="00701768">
        <w:rPr>
          <w:i/>
          <w:vertAlign w:val="subscript"/>
        </w:rPr>
        <w:t>n</w:t>
      </w:r>
      <w:r w:rsidR="007412B4">
        <w:t xml:space="preserve"> + 5419 describes the cost of tuition and fees at public colleges</w:t>
      </w:r>
      <w:r>
        <w:t xml:space="preserve"> in academic year </w:t>
      </w:r>
      <w:r w:rsidRPr="00701768">
        <w:rPr>
          <w:i/>
        </w:rPr>
        <w:t>n</w:t>
      </w:r>
      <w:r>
        <w:t xml:space="preserve">, where </w:t>
      </w:r>
      <w:r w:rsidRPr="00701768">
        <w:rPr>
          <w:i/>
        </w:rPr>
        <w:t>n</w:t>
      </w:r>
      <w:r>
        <w:t xml:space="preserve"> </w:t>
      </w:r>
      <w:r w:rsidR="007412B4">
        <w:t>= 1 corresponds to t</w:t>
      </w:r>
      <w:r>
        <w:t xml:space="preserve">he school year ending in 2007, </w:t>
      </w:r>
      <w:r w:rsidRPr="00701768">
        <w:rPr>
          <w:i/>
        </w:rPr>
        <w:t>n</w:t>
      </w:r>
      <w:r w:rsidR="007412B4">
        <w:t xml:space="preserve"> = 2 to the school year ending in 2008, and so on. </w:t>
      </w:r>
    </w:p>
    <w:p w:rsidR="00001526" w:rsidRDefault="00001526" w:rsidP="00001526">
      <w:pPr>
        <w:ind w:left="720"/>
      </w:pPr>
    </w:p>
    <w:p w:rsidR="00701768" w:rsidRDefault="007412B4" w:rsidP="00701768">
      <w:pPr>
        <w:numPr>
          <w:ilvl w:val="1"/>
          <w:numId w:val="18"/>
        </w:numPr>
      </w:pPr>
      <w:r>
        <w:t>Use this model and the formula fo</w:t>
      </w:r>
      <w:r w:rsidR="00701768">
        <w:t xml:space="preserve">r </w:t>
      </w:r>
      <w:r w:rsidRPr="00701768">
        <w:rPr>
          <w:i/>
        </w:rPr>
        <w:t>S</w:t>
      </w:r>
      <w:r w:rsidRPr="00701768">
        <w:rPr>
          <w:i/>
          <w:vertAlign w:val="subscript"/>
        </w:rPr>
        <w:t>n</w:t>
      </w:r>
      <w:r>
        <w:t xml:space="preserve"> to find the total cost of tuition and fees at public colleges for a four-year period from the school year ending in 2007 through the school year ending in 2010. </w:t>
      </w:r>
    </w:p>
    <w:p w:rsidR="00001526" w:rsidRDefault="00001526" w:rsidP="00001526">
      <w:pPr>
        <w:ind w:left="1440"/>
      </w:pPr>
    </w:p>
    <w:p w:rsidR="007412B4" w:rsidRDefault="007412B4" w:rsidP="00701768">
      <w:pPr>
        <w:numPr>
          <w:ilvl w:val="1"/>
          <w:numId w:val="18"/>
        </w:numPr>
      </w:pPr>
      <w:r>
        <w:t>How does this compare with the actual sum you obtained in part (</w:t>
      </w:r>
      <w:r w:rsidR="00701768">
        <w:t>a</w:t>
      </w:r>
      <w:r>
        <w:t xml:space="preserve">)? </w:t>
      </w:r>
    </w:p>
    <w:p w:rsidR="009D650C" w:rsidRDefault="009D650C" w:rsidP="005777E4"/>
    <w:p w:rsidR="009D650C" w:rsidRDefault="009D650C" w:rsidP="009D650C"/>
    <w:p w:rsidR="00310581" w:rsidRDefault="00310581" w:rsidP="00310581">
      <w:pPr>
        <w:pStyle w:val="ModuleLineThinSR"/>
        <w:ind w:right="4320"/>
      </w:pPr>
    </w:p>
    <w:p w:rsidR="00310581" w:rsidRDefault="00310581" w:rsidP="00310581">
      <w:pPr>
        <w:pStyle w:val="EndofAssignment"/>
      </w:pPr>
    </w:p>
    <w:p w:rsidR="00310581" w:rsidRDefault="002E36EC" w:rsidP="00310581">
      <w:pPr>
        <w:pStyle w:val="EndofAssignment"/>
      </w:pPr>
      <w:r>
        <w:t xml:space="preserve">This is the end of </w:t>
      </w:r>
      <w:r w:rsidR="001E7AA5">
        <w:t xml:space="preserve">Assignment </w:t>
      </w:r>
      <w:r w:rsidR="005777E4">
        <w:t>8</w:t>
      </w:r>
      <w:r w:rsidR="00310581">
        <w:t>.</w:t>
      </w:r>
    </w:p>
    <w:p w:rsidR="00310581" w:rsidRDefault="00310581" w:rsidP="00310581">
      <w:pPr>
        <w:pStyle w:val="ModuleLineThinSR"/>
        <w:ind w:right="4320"/>
      </w:pPr>
    </w:p>
    <w:p w:rsidR="00310581" w:rsidRDefault="00310581" w:rsidP="00310581">
      <w:pPr>
        <w:pStyle w:val="ModuleLineThinSR"/>
        <w:ind w:right="4320"/>
      </w:pPr>
    </w:p>
    <w:p w:rsidR="00AE2115" w:rsidRDefault="00AE2115" w:rsidP="00310581">
      <w:pPr>
        <w:pStyle w:val="ModuleLineThinSR"/>
        <w:ind w:right="4320"/>
      </w:pPr>
    </w:p>
    <w:p w:rsidR="00310581" w:rsidRDefault="00310581" w:rsidP="00310581">
      <w:pPr>
        <w:pStyle w:val="ModuleLineThinSR"/>
        <w:ind w:right="4320"/>
      </w:pPr>
    </w:p>
    <w:p w:rsidR="00CC2176" w:rsidRDefault="00CC2176" w:rsidP="00310581">
      <w:pPr>
        <w:pStyle w:val="ModuleLineThinSR"/>
        <w:ind w:right="4320"/>
      </w:pPr>
    </w:p>
    <w:sectPr w:rsidR="00CC217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A3B" w:rsidRDefault="000E5A3B">
      <w:r>
        <w:separator/>
      </w:r>
    </w:p>
  </w:endnote>
  <w:endnote w:type="continuationSeparator" w:id="0">
    <w:p w:rsidR="000E5A3B" w:rsidRDefault="000E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FC-BaucherGothic">
    <w:altName w:val="Times New Roman"/>
    <w:panose1 w:val="00000000000000000000"/>
    <w:charset w:val="00"/>
    <w:family w:val="roman"/>
    <w:notTrueType/>
    <w:pitch w:val="variable"/>
    <w:sig w:usb0="00000001" w:usb1="00000000" w:usb2="00000000" w:usb3="00000000" w:csb0="00000009" w:csb1="00000000"/>
  </w:font>
  <w:font w:name="MyriaMM_400 RG 300 CN">
    <w:panose1 w:val="00000000000000000000"/>
    <w:charset w:val="00"/>
    <w:family w:val="swiss"/>
    <w:notTrueType/>
    <w:pitch w:val="variable"/>
    <w:sig w:usb0="00000003" w:usb1="00000000" w:usb2="00000000" w:usb3="00000000" w:csb0="00000001" w:csb1="00000000"/>
  </w:font>
  <w:font w:name="MyriaMM_700 BD 600 NO">
    <w:panose1 w:val="00000000000000000000"/>
    <w:charset w:val="00"/>
    <w:family w:val="swiss"/>
    <w:notTrueType/>
    <w:pitch w:val="variable"/>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7AD" w:rsidRDefault="00C137AD" w:rsidP="00C137A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A3B" w:rsidRDefault="000E5A3B">
      <w:r>
        <w:separator/>
      </w:r>
    </w:p>
  </w:footnote>
  <w:footnote w:type="continuationSeparator" w:id="0">
    <w:p w:rsidR="000E5A3B" w:rsidRDefault="000E5A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049C9"/>
    <w:multiLevelType w:val="hybridMultilevel"/>
    <w:tmpl w:val="E3E8E4FE"/>
    <w:lvl w:ilvl="0" w:tplc="0409000D">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15D32"/>
    <w:multiLevelType w:val="hybridMultilevel"/>
    <w:tmpl w:val="13DE7B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77920"/>
    <w:multiLevelType w:val="singleLevel"/>
    <w:tmpl w:val="6DB09540"/>
    <w:lvl w:ilvl="0">
      <w:start w:val="1"/>
      <w:numFmt w:val="bullet"/>
      <w:pStyle w:val="CourseModuleList"/>
      <w:lvlText w:val=""/>
      <w:lvlJc w:val="left"/>
      <w:pPr>
        <w:tabs>
          <w:tab w:val="num" w:pos="3600"/>
        </w:tabs>
        <w:ind w:left="3600" w:hanging="360"/>
      </w:pPr>
      <w:rPr>
        <w:rFonts w:ascii="Webdings" w:hAnsi="Webdings" w:hint="default"/>
        <w:b w:val="0"/>
        <w:i w:val="0"/>
        <w:sz w:val="22"/>
      </w:rPr>
    </w:lvl>
  </w:abstractNum>
  <w:abstractNum w:abstractNumId="3" w15:restartNumberingAfterBreak="0">
    <w:nsid w:val="1A821D65"/>
    <w:multiLevelType w:val="hybridMultilevel"/>
    <w:tmpl w:val="AA9C908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A6F4A"/>
    <w:multiLevelType w:val="hybridMultilevel"/>
    <w:tmpl w:val="318C2606"/>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EF2027"/>
    <w:multiLevelType w:val="hybridMultilevel"/>
    <w:tmpl w:val="6E18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90641"/>
    <w:multiLevelType w:val="hybridMultilevel"/>
    <w:tmpl w:val="07EAF452"/>
    <w:lvl w:ilvl="0" w:tplc="223E02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E4496F"/>
    <w:multiLevelType w:val="hybridMultilevel"/>
    <w:tmpl w:val="7E90E0AE"/>
    <w:lvl w:ilvl="0" w:tplc="BE32FF66">
      <w:start w:val="1"/>
      <w:numFmt w:val="lowerLetter"/>
      <w:lvlText w:val="%1."/>
      <w:lvlJc w:val="left"/>
      <w:pPr>
        <w:tabs>
          <w:tab w:val="num" w:pos="1440"/>
        </w:tabs>
        <w:ind w:left="1440" w:hanging="720"/>
      </w:pPr>
      <w:rPr>
        <w:rFonts w:hint="default"/>
      </w:rPr>
    </w:lvl>
    <w:lvl w:ilvl="1" w:tplc="2100401C">
      <w:start w:val="5"/>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6F56038"/>
    <w:multiLevelType w:val="hybridMultilevel"/>
    <w:tmpl w:val="10447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455BA2"/>
    <w:multiLevelType w:val="hybridMultilevel"/>
    <w:tmpl w:val="5D1A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E360F"/>
    <w:multiLevelType w:val="hybridMultilevel"/>
    <w:tmpl w:val="2CECCF4A"/>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F80C64"/>
    <w:multiLevelType w:val="hybridMultilevel"/>
    <w:tmpl w:val="2F7E4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855463"/>
    <w:multiLevelType w:val="hybridMultilevel"/>
    <w:tmpl w:val="D90C4A52"/>
    <w:lvl w:ilvl="0" w:tplc="8FF66C5C">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4907208"/>
    <w:multiLevelType w:val="hybridMultilevel"/>
    <w:tmpl w:val="C13A7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B6474B"/>
    <w:multiLevelType w:val="hybridMultilevel"/>
    <w:tmpl w:val="A07EA3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4776CC"/>
    <w:multiLevelType w:val="hybridMultilevel"/>
    <w:tmpl w:val="7FF20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F63CD6"/>
    <w:multiLevelType w:val="hybridMultilevel"/>
    <w:tmpl w:val="44864F78"/>
    <w:lvl w:ilvl="0" w:tplc="0409000D">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4E6188"/>
    <w:multiLevelType w:val="hybridMultilevel"/>
    <w:tmpl w:val="C528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3B48F2"/>
    <w:multiLevelType w:val="hybridMultilevel"/>
    <w:tmpl w:val="7778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1"/>
  </w:num>
  <w:num w:numId="4">
    <w:abstractNumId w:val="6"/>
  </w:num>
  <w:num w:numId="5">
    <w:abstractNumId w:val="3"/>
  </w:num>
  <w:num w:numId="6">
    <w:abstractNumId w:val="16"/>
  </w:num>
  <w:num w:numId="7">
    <w:abstractNumId w:val="0"/>
  </w:num>
  <w:num w:numId="8">
    <w:abstractNumId w:val="15"/>
  </w:num>
  <w:num w:numId="9">
    <w:abstractNumId w:val="17"/>
  </w:num>
  <w:num w:numId="10">
    <w:abstractNumId w:val="13"/>
  </w:num>
  <w:num w:numId="11">
    <w:abstractNumId w:val="8"/>
  </w:num>
  <w:num w:numId="12">
    <w:abstractNumId w:val="9"/>
  </w:num>
  <w:num w:numId="13">
    <w:abstractNumId w:val="12"/>
  </w:num>
  <w:num w:numId="14">
    <w:abstractNumId w:val="18"/>
  </w:num>
  <w:num w:numId="15">
    <w:abstractNumId w:val="5"/>
  </w:num>
  <w:num w:numId="16">
    <w:abstractNumId w:val="14"/>
  </w:num>
  <w:num w:numId="17">
    <w:abstractNumId w:val="1"/>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581"/>
    <w:rsid w:val="00001526"/>
    <w:rsid w:val="00082C54"/>
    <w:rsid w:val="000A25DF"/>
    <w:rsid w:val="000B274C"/>
    <w:rsid w:val="000B39E3"/>
    <w:rsid w:val="000E5746"/>
    <w:rsid w:val="000E5A3B"/>
    <w:rsid w:val="00147CC1"/>
    <w:rsid w:val="001E7AA5"/>
    <w:rsid w:val="002274F7"/>
    <w:rsid w:val="002B7061"/>
    <w:rsid w:val="002D57AE"/>
    <w:rsid w:val="002E29A4"/>
    <w:rsid w:val="002E36EC"/>
    <w:rsid w:val="00310581"/>
    <w:rsid w:val="00324080"/>
    <w:rsid w:val="003621F1"/>
    <w:rsid w:val="003741D5"/>
    <w:rsid w:val="003A53DA"/>
    <w:rsid w:val="004004C5"/>
    <w:rsid w:val="00442B29"/>
    <w:rsid w:val="00474ABC"/>
    <w:rsid w:val="005242D1"/>
    <w:rsid w:val="00570E80"/>
    <w:rsid w:val="005777E4"/>
    <w:rsid w:val="00586EBF"/>
    <w:rsid w:val="00596316"/>
    <w:rsid w:val="005C5061"/>
    <w:rsid w:val="00700EDB"/>
    <w:rsid w:val="00701768"/>
    <w:rsid w:val="0072682B"/>
    <w:rsid w:val="007410E3"/>
    <w:rsid w:val="007412B4"/>
    <w:rsid w:val="007E63C9"/>
    <w:rsid w:val="00814D97"/>
    <w:rsid w:val="00861900"/>
    <w:rsid w:val="0089503C"/>
    <w:rsid w:val="008D140E"/>
    <w:rsid w:val="00950844"/>
    <w:rsid w:val="00980773"/>
    <w:rsid w:val="0099245B"/>
    <w:rsid w:val="0099256A"/>
    <w:rsid w:val="009B130A"/>
    <w:rsid w:val="009C040A"/>
    <w:rsid w:val="009D650C"/>
    <w:rsid w:val="00AE2115"/>
    <w:rsid w:val="00AE6D7C"/>
    <w:rsid w:val="00AF013E"/>
    <w:rsid w:val="00B121B1"/>
    <w:rsid w:val="00B43D74"/>
    <w:rsid w:val="00BF0A9A"/>
    <w:rsid w:val="00BF1CC0"/>
    <w:rsid w:val="00C04A83"/>
    <w:rsid w:val="00C06681"/>
    <w:rsid w:val="00C137AD"/>
    <w:rsid w:val="00C54339"/>
    <w:rsid w:val="00CC2176"/>
    <w:rsid w:val="00CD225A"/>
    <w:rsid w:val="00CD6279"/>
    <w:rsid w:val="00DA3A6F"/>
    <w:rsid w:val="00DA7A6A"/>
    <w:rsid w:val="00DB6C08"/>
    <w:rsid w:val="00DC198F"/>
    <w:rsid w:val="00DD1EFB"/>
    <w:rsid w:val="00E9383A"/>
    <w:rsid w:val="00FA3250"/>
    <w:rsid w:val="00FC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8809B4-45EA-41C2-B435-9EC17F13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5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0581"/>
    <w:pPr>
      <w:spacing w:before="100" w:beforeAutospacing="1" w:after="100" w:afterAutospacing="1"/>
    </w:pPr>
  </w:style>
  <w:style w:type="paragraph" w:customStyle="1" w:styleId="CourseModuleHeader">
    <w:name w:val="Course/Module Header"/>
    <w:basedOn w:val="Normal"/>
    <w:next w:val="Normal"/>
    <w:rsid w:val="00310581"/>
    <w:pPr>
      <w:pageBreakBefore/>
      <w:pBdr>
        <w:bottom w:val="single" w:sz="24" w:space="0" w:color="auto"/>
      </w:pBdr>
    </w:pPr>
    <w:rPr>
      <w:rFonts w:ascii="FC-BaucherGothic" w:hAnsi="FC-BaucherGothic"/>
      <w:b/>
      <w:caps/>
      <w:spacing w:val="8"/>
      <w:sz w:val="72"/>
      <w:szCs w:val="20"/>
    </w:rPr>
  </w:style>
  <w:style w:type="paragraph" w:customStyle="1" w:styleId="SmallCourseTitle">
    <w:name w:val="Small Course Title"/>
    <w:basedOn w:val="Normal"/>
    <w:next w:val="Normal"/>
    <w:rsid w:val="00310581"/>
    <w:pPr>
      <w:spacing w:after="200"/>
      <w:ind w:right="1728"/>
    </w:pPr>
    <w:rPr>
      <w:rFonts w:ascii="MyriaMM_400 RG 300 CN" w:hAnsi="MyriaMM_400 RG 300 CN"/>
      <w:szCs w:val="20"/>
    </w:rPr>
  </w:style>
  <w:style w:type="paragraph" w:customStyle="1" w:styleId="ModuleLineThinSR">
    <w:name w:val="Module Line Thin (SR)"/>
    <w:basedOn w:val="Normal"/>
    <w:rsid w:val="00310581"/>
    <w:pPr>
      <w:pBdr>
        <w:bottom w:val="single" w:sz="4" w:space="1" w:color="000000"/>
      </w:pBdr>
      <w:spacing w:after="80" w:line="120" w:lineRule="auto"/>
      <w:ind w:right="2160"/>
    </w:pPr>
    <w:rPr>
      <w:rFonts w:ascii="FC-BaucherGothic" w:hAnsi="FC-BaucherGothic"/>
      <w:i/>
      <w:sz w:val="2"/>
      <w:szCs w:val="20"/>
    </w:rPr>
  </w:style>
  <w:style w:type="paragraph" w:customStyle="1" w:styleId="EndofAssignment">
    <w:name w:val="End of Assignment"/>
    <w:basedOn w:val="Normal"/>
    <w:next w:val="ModuleLineThinSR"/>
    <w:rsid w:val="00310581"/>
    <w:pPr>
      <w:tabs>
        <w:tab w:val="left" w:pos="2160"/>
        <w:tab w:val="left" w:pos="2520"/>
        <w:tab w:val="left" w:pos="3240"/>
        <w:tab w:val="left" w:pos="3600"/>
        <w:tab w:val="left" w:pos="3960"/>
        <w:tab w:val="left" w:pos="4320"/>
        <w:tab w:val="left" w:pos="4680"/>
        <w:tab w:val="left" w:pos="5040"/>
        <w:tab w:val="left" w:pos="5400"/>
        <w:tab w:val="left" w:pos="8352"/>
      </w:tabs>
      <w:ind w:left="2160" w:hanging="2160"/>
    </w:pPr>
    <w:rPr>
      <w:rFonts w:ascii="MyriaMM_700 BD 600 NO" w:hAnsi="MyriaMM_700 BD 600 NO"/>
      <w:smallCaps/>
      <w:sz w:val="30"/>
      <w:szCs w:val="20"/>
    </w:rPr>
  </w:style>
  <w:style w:type="character" w:styleId="Strong">
    <w:name w:val="Strong"/>
    <w:qFormat/>
    <w:rsid w:val="00310581"/>
    <w:rPr>
      <w:b/>
      <w:bCs/>
    </w:rPr>
  </w:style>
  <w:style w:type="paragraph" w:customStyle="1" w:styleId="CourseModuleList">
    <w:name w:val="Course/Module List"/>
    <w:basedOn w:val="Normal"/>
    <w:rsid w:val="009C040A"/>
    <w:pPr>
      <w:keepLines/>
      <w:numPr>
        <w:numId w:val="2"/>
      </w:numPr>
      <w:tabs>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80" w:line="288" w:lineRule="auto"/>
      <w:ind w:left="2520"/>
    </w:pPr>
    <w:rPr>
      <w:rFonts w:ascii="Garamond BookCondensed" w:hAnsi="Garamond BookCondensed"/>
      <w:sz w:val="22"/>
      <w:szCs w:val="20"/>
    </w:rPr>
  </w:style>
  <w:style w:type="paragraph" w:styleId="Header">
    <w:name w:val="header"/>
    <w:basedOn w:val="Normal"/>
    <w:rsid w:val="00C137AD"/>
    <w:pPr>
      <w:tabs>
        <w:tab w:val="center" w:pos="4320"/>
        <w:tab w:val="right" w:pos="8640"/>
      </w:tabs>
    </w:pPr>
  </w:style>
  <w:style w:type="paragraph" w:styleId="Footer">
    <w:name w:val="footer"/>
    <w:basedOn w:val="Normal"/>
    <w:rsid w:val="00C137AD"/>
    <w:pPr>
      <w:tabs>
        <w:tab w:val="center" w:pos="4320"/>
        <w:tab w:val="right" w:pos="8640"/>
      </w:tabs>
    </w:pPr>
  </w:style>
  <w:style w:type="character" w:styleId="PageNumber">
    <w:name w:val="page number"/>
    <w:basedOn w:val="DefaultParagraphFont"/>
    <w:rsid w:val="00C137AD"/>
  </w:style>
  <w:style w:type="character" w:styleId="CommentReference">
    <w:name w:val="annotation reference"/>
    <w:rsid w:val="00FA3250"/>
    <w:rPr>
      <w:sz w:val="16"/>
      <w:szCs w:val="16"/>
    </w:rPr>
  </w:style>
  <w:style w:type="paragraph" w:styleId="CommentText">
    <w:name w:val="annotation text"/>
    <w:basedOn w:val="Normal"/>
    <w:link w:val="CommentTextChar"/>
    <w:rsid w:val="00FA3250"/>
    <w:rPr>
      <w:sz w:val="20"/>
      <w:szCs w:val="20"/>
    </w:rPr>
  </w:style>
  <w:style w:type="character" w:customStyle="1" w:styleId="CommentTextChar">
    <w:name w:val="Comment Text Char"/>
    <w:basedOn w:val="DefaultParagraphFont"/>
    <w:link w:val="CommentText"/>
    <w:rsid w:val="00FA3250"/>
  </w:style>
  <w:style w:type="paragraph" w:styleId="CommentSubject">
    <w:name w:val="annotation subject"/>
    <w:basedOn w:val="CommentText"/>
    <w:next w:val="CommentText"/>
    <w:link w:val="CommentSubjectChar"/>
    <w:rsid w:val="00FA3250"/>
    <w:rPr>
      <w:b/>
      <w:bCs/>
    </w:rPr>
  </w:style>
  <w:style w:type="character" w:customStyle="1" w:styleId="CommentSubjectChar">
    <w:name w:val="Comment Subject Char"/>
    <w:link w:val="CommentSubject"/>
    <w:rsid w:val="00FA3250"/>
    <w:rPr>
      <w:b/>
      <w:bCs/>
    </w:rPr>
  </w:style>
  <w:style w:type="paragraph" w:styleId="BalloonText">
    <w:name w:val="Balloon Text"/>
    <w:basedOn w:val="Normal"/>
    <w:link w:val="BalloonTextChar"/>
    <w:rsid w:val="00FA3250"/>
    <w:rPr>
      <w:rFonts w:ascii="Tahoma" w:hAnsi="Tahoma" w:cs="Tahoma"/>
      <w:sz w:val="16"/>
      <w:szCs w:val="16"/>
    </w:rPr>
  </w:style>
  <w:style w:type="character" w:customStyle="1" w:styleId="BalloonTextChar">
    <w:name w:val="Balloon Text Char"/>
    <w:link w:val="BalloonText"/>
    <w:rsid w:val="00FA3250"/>
    <w:rPr>
      <w:rFonts w:ascii="Tahoma" w:hAnsi="Tahoma" w:cs="Tahoma"/>
      <w:sz w:val="16"/>
      <w:szCs w:val="16"/>
    </w:rPr>
  </w:style>
  <w:style w:type="paragraph" w:customStyle="1" w:styleId="Default">
    <w:name w:val="Default"/>
    <w:rsid w:val="009D650C"/>
    <w:pPr>
      <w:autoSpaceDE w:val="0"/>
      <w:autoSpaceDN w:val="0"/>
      <w:adjustRightInd w:val="0"/>
    </w:pPr>
    <w:rPr>
      <w:rFonts w:ascii="Verdana" w:hAnsi="Verdana" w:cs="Verdana"/>
      <w:color w:val="000000"/>
      <w:sz w:val="24"/>
      <w:szCs w:val="24"/>
    </w:rPr>
  </w:style>
  <w:style w:type="table" w:styleId="TableGrid">
    <w:name w:val="Table Grid"/>
    <w:basedOn w:val="TableNormal"/>
    <w:rsid w:val="00577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46" b="1" i="0" u="none" strike="noStrike" baseline="0">
                <a:solidFill>
                  <a:srgbClr val="000000"/>
                </a:solidFill>
                <a:latin typeface="Calibri"/>
                <a:ea typeface="Calibri"/>
                <a:cs typeface="Calibri"/>
              </a:defRPr>
            </a:pPr>
            <a:r>
              <a:rPr lang="en-US"/>
              <a:t>Average Cost of Tuition and Fees at Four-Year United States Colleges</a:t>
            </a:r>
          </a:p>
        </c:rich>
      </c:tx>
      <c:layout>
        <c:manualLayout>
          <c:xMode val="edge"/>
          <c:yMode val="edge"/>
          <c:x val="0.10131332082551595"/>
          <c:y val="2.023121387283237E-2"/>
        </c:manualLayout>
      </c:layout>
      <c:overlay val="0"/>
      <c:spPr>
        <a:noFill/>
        <a:ln w="25328">
          <a:noFill/>
        </a:ln>
      </c:spPr>
    </c:title>
    <c:autoTitleDeleted val="0"/>
    <c:view3D>
      <c:rotX val="15"/>
      <c:hPercent val="4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5384615384615385"/>
          <c:y val="0.25144508670520233"/>
          <c:w val="0.82739212007504692"/>
          <c:h val="0.46242774566473988"/>
        </c:manualLayout>
      </c:layout>
      <c:bar3DChart>
        <c:barDir val="col"/>
        <c:grouping val="clustered"/>
        <c:varyColors val="0"/>
        <c:ser>
          <c:idx val="0"/>
          <c:order val="0"/>
          <c:tx>
            <c:strRef>
              <c:f>Sheet1!$A$2</c:f>
              <c:strCache>
                <c:ptCount val="1"/>
                <c:pt idx="0">
                  <c:v>Public Institutions</c:v>
                </c:pt>
              </c:strCache>
            </c:strRef>
          </c:tx>
          <c:spPr>
            <a:solidFill>
              <a:srgbClr val="99CC00"/>
            </a:solidFill>
            <a:ln w="12664">
              <a:solidFill>
                <a:srgbClr val="000000"/>
              </a:solidFill>
              <a:prstDash val="solid"/>
            </a:ln>
          </c:spPr>
          <c:invertIfNegative val="0"/>
          <c:dLbls>
            <c:dLbl>
              <c:idx val="0"/>
              <c:layout>
                <c:manualLayout>
                  <c:x val="-4.2133460704685474E-3"/>
                  <c:y val="0.11540519032450591"/>
                </c:manualLayout>
              </c:layout>
              <c:spPr>
                <a:noFill/>
                <a:ln w="25328">
                  <a:noFill/>
                </a:ln>
              </c:spPr>
              <c:txPr>
                <a:bodyPr rot="-5400000" vert="horz"/>
                <a:lstStyle/>
                <a:p>
                  <a:pPr algn="ctr">
                    <a:defRPr sz="922"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2473659018843132E-3"/>
                  <c:y val="0.12038896171927875"/>
                </c:manualLayout>
              </c:layout>
              <c:spPr>
                <a:noFill/>
                <a:ln w="25328">
                  <a:noFill/>
                </a:ln>
              </c:spPr>
              <c:txPr>
                <a:bodyPr rot="-5400000" vert="horz"/>
                <a:lstStyle/>
                <a:p>
                  <a:pPr algn="ctr">
                    <a:defRPr sz="922"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0335372463355494E-3"/>
                  <c:y val="0.12321096161115498"/>
                </c:manualLayout>
              </c:layout>
              <c:spPr>
                <a:noFill/>
                <a:ln w="25328">
                  <a:noFill/>
                </a:ln>
              </c:spPr>
              <c:txPr>
                <a:bodyPr rot="-5400000" vert="horz"/>
                <a:lstStyle/>
                <a:p>
                  <a:pPr algn="ctr">
                    <a:defRPr sz="922"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0675570777513148E-3"/>
                  <c:y val="0.12364228903529052"/>
                </c:manualLayout>
              </c:layout>
              <c:spPr>
                <a:noFill/>
                <a:ln w="25328">
                  <a:noFill/>
                </a:ln>
              </c:spPr>
              <c:txPr>
                <a:bodyPr rot="-5400000" vert="horz"/>
                <a:lstStyle/>
                <a:p>
                  <a:pPr algn="ctr">
                    <a:defRPr sz="922"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extLst>
                <c:ext xmlns:c15="http://schemas.microsoft.com/office/drawing/2012/chart" uri="{CE6537A1-D6FC-4f65-9D91-7224C49458BB}">
                  <c15:layout/>
                </c:ext>
              </c:extLst>
            </c:dLbl>
            <c:spPr>
              <a:noFill/>
              <a:ln w="25328">
                <a:noFill/>
              </a:ln>
            </c:spPr>
            <c:txPr>
              <a:bodyPr rot="-5400000" vert="horz"/>
              <a:lstStyle/>
              <a:p>
                <a:pPr algn="ctr">
                  <a:defRPr sz="1022"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2007</c:v>
                </c:pt>
                <c:pt idx="1">
                  <c:v>2008</c:v>
                </c:pt>
                <c:pt idx="2">
                  <c:v>2009</c:v>
                </c:pt>
                <c:pt idx="3">
                  <c:v>2010</c:v>
                </c:pt>
              </c:numCache>
            </c:numRef>
          </c:cat>
          <c:val>
            <c:numRef>
              <c:f>Sheet1!$B$2:$E$2</c:f>
              <c:numCache>
                <c:formatCode>General</c:formatCode>
                <c:ptCount val="4"/>
                <c:pt idx="0">
                  <c:v>5836</c:v>
                </c:pt>
                <c:pt idx="1">
                  <c:v>6185</c:v>
                </c:pt>
                <c:pt idx="2">
                  <c:v>6585</c:v>
                </c:pt>
                <c:pt idx="3">
                  <c:v>7020</c:v>
                </c:pt>
              </c:numCache>
            </c:numRef>
          </c:val>
        </c:ser>
        <c:ser>
          <c:idx val="1"/>
          <c:order val="1"/>
          <c:tx>
            <c:strRef>
              <c:f>Sheet1!$A$3</c:f>
              <c:strCache>
                <c:ptCount val="1"/>
                <c:pt idx="0">
                  <c:v>Private Institutions</c:v>
                </c:pt>
              </c:strCache>
            </c:strRef>
          </c:tx>
          <c:spPr>
            <a:solidFill>
              <a:srgbClr val="FFCC00"/>
            </a:solidFill>
            <a:ln w="12664">
              <a:solidFill>
                <a:srgbClr val="000000"/>
              </a:solidFill>
              <a:prstDash val="solid"/>
            </a:ln>
          </c:spPr>
          <c:invertIfNegative val="0"/>
          <c:dLbls>
            <c:dLbl>
              <c:idx val="0"/>
              <c:layout>
                <c:manualLayout>
                  <c:x val="-5.7958900606570937E-3"/>
                  <c:y val="0.35558934002418474"/>
                </c:manualLayout>
              </c:layout>
              <c:tx>
                <c:rich>
                  <a:bodyPr/>
                  <a:lstStyle/>
                  <a:p>
                    <a:r>
                      <a:rPr lang="en-US"/>
                      <a:t>22,218</a:t>
                    </a:r>
                  </a:p>
                </c:rich>
              </c:tx>
              <c:showLegendKey val="0"/>
              <c:showVal val="0"/>
              <c:showCatName val="0"/>
              <c:showSerName val="0"/>
              <c:showPercent val="0"/>
              <c:showBubbleSize val="0"/>
              <c:extLst>
                <c:ext xmlns:c15="http://schemas.microsoft.com/office/drawing/2012/chart" uri="{CE6537A1-D6FC-4f65-9D91-7224C49458BB}">
                  <c15:layout/>
                </c:ext>
              </c:extLst>
            </c:dLbl>
            <c:dLbl>
              <c:idx val="1"/>
              <c:layout>
                <c:manualLayout>
                  <c:x val="-1.9535435814685078E-3"/>
                  <c:y val="0.37403368289783612"/>
                </c:manualLayout>
              </c:layout>
              <c:tx>
                <c:rich>
                  <a:bodyPr/>
                  <a:lstStyle/>
                  <a:p>
                    <a:r>
                      <a:rPr lang="en-US"/>
                      <a:t>23,712</a:t>
                    </a:r>
                  </a:p>
                </c:rich>
              </c:tx>
              <c:showLegendKey val="0"/>
              <c:showVal val="0"/>
              <c:showCatName val="0"/>
              <c:showSerName val="0"/>
              <c:showPercent val="0"/>
              <c:showBubbleSize val="0"/>
              <c:extLst>
                <c:ext xmlns:c15="http://schemas.microsoft.com/office/drawing/2012/chart" uri="{CE6537A1-D6FC-4f65-9D91-7224C49458BB}">
                  <c15:layout/>
                </c:ext>
              </c:extLst>
            </c:dLbl>
            <c:dLbl>
              <c:idx val="2"/>
              <c:layout>
                <c:manualLayout>
                  <c:x val="-1.8637360207641954E-3"/>
                  <c:y val="0.39157839174686737"/>
                </c:manualLayout>
              </c:layout>
              <c:tx>
                <c:rich>
                  <a:bodyPr/>
                  <a:lstStyle/>
                  <a:p>
                    <a:r>
                      <a:rPr lang="en-US"/>
                      <a:t>25,143</a:t>
                    </a:r>
                  </a:p>
                </c:rich>
              </c:tx>
              <c:showLegendKey val="0"/>
              <c:showVal val="0"/>
              <c:showCatName val="0"/>
              <c:showSerName val="0"/>
              <c:showPercent val="0"/>
              <c:showBubbleSize val="0"/>
              <c:extLst>
                <c:ext xmlns:c15="http://schemas.microsoft.com/office/drawing/2012/chart" uri="{CE6537A1-D6FC-4f65-9D91-7224C49458BB}">
                  <c15:layout/>
                </c:ext>
              </c:extLst>
            </c:dLbl>
            <c:dLbl>
              <c:idx val="3"/>
              <c:layout>
                <c:manualLayout>
                  <c:x val="-1.7737347573355097E-3"/>
                  <c:y val="0.41060490022806423"/>
                </c:manualLayout>
              </c:layout>
              <c:tx>
                <c:rich>
                  <a:bodyPr/>
                  <a:lstStyle/>
                  <a:p>
                    <a:r>
                      <a:rPr lang="en-US"/>
                      <a:t>26,273</a:t>
                    </a:r>
                  </a:p>
                </c:rich>
              </c:tx>
              <c:showLegendKey val="0"/>
              <c:showVal val="0"/>
              <c:showCatName val="0"/>
              <c:showSerName val="0"/>
              <c:showPercent val="0"/>
              <c:showBubbleSize val="0"/>
              <c:extLst>
                <c:ext xmlns:c15="http://schemas.microsoft.com/office/drawing/2012/chart" uri="{CE6537A1-D6FC-4f65-9D91-7224C49458BB}">
                  <c15:layout/>
                </c:ext>
              </c:extLst>
            </c:dLbl>
            <c:spPr>
              <a:noFill/>
              <a:ln w="25328">
                <a:noFill/>
              </a:ln>
            </c:spPr>
            <c:txPr>
              <a:bodyPr rot="-5400000" vert="horz"/>
              <a:lstStyle/>
              <a:p>
                <a:pPr algn="ctr">
                  <a:defRPr sz="922"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2007</c:v>
                </c:pt>
                <c:pt idx="1">
                  <c:v>2008</c:v>
                </c:pt>
                <c:pt idx="2">
                  <c:v>2009</c:v>
                </c:pt>
                <c:pt idx="3">
                  <c:v>2010</c:v>
                </c:pt>
              </c:numCache>
            </c:numRef>
          </c:cat>
          <c:val>
            <c:numRef>
              <c:f>Sheet1!$B$3:$E$3</c:f>
              <c:numCache>
                <c:formatCode>General</c:formatCode>
                <c:ptCount val="4"/>
                <c:pt idx="0">
                  <c:v>22218</c:v>
                </c:pt>
                <c:pt idx="1">
                  <c:v>23712</c:v>
                </c:pt>
                <c:pt idx="2">
                  <c:v>25143</c:v>
                </c:pt>
                <c:pt idx="3">
                  <c:v>26273</c:v>
                </c:pt>
              </c:numCache>
            </c:numRef>
          </c:val>
        </c:ser>
        <c:dLbls>
          <c:showLegendKey val="0"/>
          <c:showVal val="1"/>
          <c:showCatName val="0"/>
          <c:showSerName val="0"/>
          <c:showPercent val="0"/>
          <c:showBubbleSize val="0"/>
        </c:dLbls>
        <c:gapWidth val="150"/>
        <c:gapDepth val="0"/>
        <c:shape val="box"/>
        <c:axId val="273656424"/>
        <c:axId val="273657600"/>
        <c:axId val="0"/>
      </c:bar3DChart>
      <c:catAx>
        <c:axId val="273656424"/>
        <c:scaling>
          <c:orientation val="minMax"/>
        </c:scaling>
        <c:delete val="0"/>
        <c:axPos val="b"/>
        <c:title>
          <c:tx>
            <c:rich>
              <a:bodyPr/>
              <a:lstStyle/>
              <a:p>
                <a:pPr>
                  <a:defRPr sz="1022" b="1" i="0" u="none" strike="noStrike" baseline="0">
                    <a:solidFill>
                      <a:srgbClr val="000000"/>
                    </a:solidFill>
                    <a:latin typeface="Calibri"/>
                    <a:ea typeface="Calibri"/>
                    <a:cs typeface="Calibri"/>
                  </a:defRPr>
                </a:pPr>
                <a:r>
                  <a:rPr lang="en-US"/>
                  <a:t>Ending Year in the School Year</a:t>
                </a:r>
              </a:p>
            </c:rich>
          </c:tx>
          <c:layout>
            <c:manualLayout>
              <c:xMode val="edge"/>
              <c:yMode val="edge"/>
              <c:x val="0.3902439024390244"/>
              <c:y val="0.7947976878612717"/>
            </c:manualLayout>
          </c:layout>
          <c:overlay val="0"/>
          <c:spPr>
            <a:noFill/>
            <a:ln w="25328">
              <a:noFill/>
            </a:ln>
          </c:spPr>
        </c:title>
        <c:numFmt formatCode="General" sourceLinked="1"/>
        <c:majorTickMark val="out"/>
        <c:minorTickMark val="none"/>
        <c:tickLblPos val="low"/>
        <c:spPr>
          <a:ln w="3166">
            <a:solidFill>
              <a:srgbClr val="000000"/>
            </a:solidFill>
            <a:prstDash val="solid"/>
          </a:ln>
        </c:spPr>
        <c:txPr>
          <a:bodyPr rot="0" vert="horz"/>
          <a:lstStyle/>
          <a:p>
            <a:pPr>
              <a:defRPr sz="1022" b="1" i="0" u="none" strike="noStrike" baseline="0">
                <a:solidFill>
                  <a:srgbClr val="000000"/>
                </a:solidFill>
                <a:latin typeface="Calibri"/>
                <a:ea typeface="Calibri"/>
                <a:cs typeface="Calibri"/>
              </a:defRPr>
            </a:pPr>
            <a:endParaRPr lang="en-US"/>
          </a:p>
        </c:txPr>
        <c:crossAx val="273657600"/>
        <c:crosses val="autoZero"/>
        <c:auto val="1"/>
        <c:lblAlgn val="ctr"/>
        <c:lblOffset val="100"/>
        <c:tickLblSkip val="1"/>
        <c:tickMarkSkip val="1"/>
        <c:noMultiLvlLbl val="0"/>
      </c:catAx>
      <c:valAx>
        <c:axId val="273657600"/>
        <c:scaling>
          <c:orientation val="minMax"/>
        </c:scaling>
        <c:delete val="0"/>
        <c:axPos val="l"/>
        <c:majorGridlines>
          <c:spPr>
            <a:ln w="3166">
              <a:solidFill>
                <a:srgbClr val="000000"/>
              </a:solidFill>
              <a:prstDash val="solid"/>
            </a:ln>
          </c:spPr>
        </c:majorGridlines>
        <c:title>
          <c:tx>
            <c:rich>
              <a:bodyPr/>
              <a:lstStyle/>
              <a:p>
                <a:pPr>
                  <a:defRPr sz="1022" b="1" i="0" u="none" strike="noStrike" baseline="0">
                    <a:solidFill>
                      <a:srgbClr val="000000"/>
                    </a:solidFill>
                    <a:latin typeface="Calibri"/>
                    <a:ea typeface="Calibri"/>
                    <a:cs typeface="Calibri"/>
                  </a:defRPr>
                </a:pPr>
                <a:r>
                  <a:rPr lang="en-US"/>
                  <a:t>Tuition and Fees</a:t>
                </a:r>
              </a:p>
            </c:rich>
          </c:tx>
          <c:layout>
            <c:manualLayout>
              <c:xMode val="edge"/>
              <c:yMode val="edge"/>
              <c:x val="9.7560975609756101E-2"/>
              <c:y val="0.38150289017341038"/>
            </c:manualLayout>
          </c:layout>
          <c:overlay val="0"/>
          <c:spPr>
            <a:noFill/>
            <a:ln w="25328">
              <a:noFill/>
            </a:ln>
          </c:spPr>
        </c:title>
        <c:numFmt formatCode="General" sourceLinked="1"/>
        <c:majorTickMark val="out"/>
        <c:minorTickMark val="none"/>
        <c:tickLblPos val="nextTo"/>
        <c:spPr>
          <a:ln w="3166">
            <a:solidFill>
              <a:srgbClr val="000000"/>
            </a:solidFill>
            <a:prstDash val="solid"/>
          </a:ln>
        </c:spPr>
        <c:txPr>
          <a:bodyPr rot="0" vert="horz"/>
          <a:lstStyle/>
          <a:p>
            <a:pPr>
              <a:defRPr sz="922" b="1" i="0" u="none" strike="noStrike" baseline="0">
                <a:solidFill>
                  <a:srgbClr val="000000"/>
                </a:solidFill>
                <a:latin typeface="Calibri"/>
                <a:ea typeface="Calibri"/>
                <a:cs typeface="Calibri"/>
              </a:defRPr>
            </a:pPr>
            <a:endParaRPr lang="en-US"/>
          </a:p>
        </c:txPr>
        <c:crossAx val="273656424"/>
        <c:crosses val="autoZero"/>
        <c:crossBetween val="between"/>
      </c:valAx>
      <c:spPr>
        <a:noFill/>
        <a:ln w="25328">
          <a:noFill/>
        </a:ln>
      </c:spPr>
    </c:plotArea>
    <c:legend>
      <c:legendPos val="b"/>
      <c:layout>
        <c:manualLayout>
          <c:xMode val="edge"/>
          <c:yMode val="edge"/>
          <c:x val="0.25328330206378985"/>
          <c:y val="0.91907514450867056"/>
          <c:w val="0.49343339587242024"/>
          <c:h val="7.2254335260115612E-2"/>
        </c:manualLayout>
      </c:layout>
      <c:overlay val="0"/>
      <c:spPr>
        <a:noFill/>
        <a:ln w="3166">
          <a:solidFill>
            <a:srgbClr val="000000"/>
          </a:solidFill>
          <a:prstDash val="solid"/>
        </a:ln>
      </c:spPr>
      <c:txPr>
        <a:bodyPr/>
        <a:lstStyle/>
        <a:p>
          <a:pPr>
            <a:defRPr sz="937"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w="6350" cap="flat" cmpd="sng" algn="ctr">
      <a:solidFill>
        <a:srgbClr val="000000"/>
      </a:solidFill>
      <a:prstDash val="solid"/>
      <a:miter lim="800000"/>
      <a:headEnd type="none" w="med" len="med"/>
      <a:tailEnd type="none" w="med" len="med"/>
    </a:ln>
  </c:spPr>
  <c:txPr>
    <a:bodyPr/>
    <a:lstStyle/>
    <a:p>
      <a:pPr>
        <a:defRPr sz="1521"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FA150-7994-4BFF-B5E4-844AFA8CE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ASSIGNMENT 03</vt:lpstr>
    </vt:vector>
  </TitlesOfParts>
  <Company>Microsoft</Company>
  <LinksUpToDate>false</LinksUpToDate>
  <CharactersWithSpaces>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03</dc:title>
  <dc:creator>Nicole</dc:creator>
  <cp:lastModifiedBy>admin</cp:lastModifiedBy>
  <cp:revision>2</cp:revision>
  <dcterms:created xsi:type="dcterms:W3CDTF">2016-07-29T06:48:00Z</dcterms:created>
  <dcterms:modified xsi:type="dcterms:W3CDTF">2016-07-29T06:48:00Z</dcterms:modified>
</cp:coreProperties>
</file>